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AD09F">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材料与化工专业学位研究生培养方案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7"/>
        <w:gridCol w:w="2570"/>
        <w:gridCol w:w="1076"/>
        <w:gridCol w:w="2617"/>
      </w:tblGrid>
      <w:tr w14:paraId="10E05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F9351C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38D118B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4E5B871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6DCF494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(0856)材料与化工</w:t>
            </w:r>
          </w:p>
        </w:tc>
      </w:tr>
      <w:tr w14:paraId="57F8C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5EA59E5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532DA15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5DAEBE4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58CFC8B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2020级</w:t>
            </w:r>
          </w:p>
        </w:tc>
      </w:tr>
      <w:tr w14:paraId="71A6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46E4F7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03BB4E3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(085600)材料与化工;</w:t>
            </w:r>
          </w:p>
        </w:tc>
      </w:tr>
      <w:tr w14:paraId="1E070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0C94D1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3"/>
              <w:gridCol w:w="1200"/>
              <w:gridCol w:w="960"/>
              <w:gridCol w:w="960"/>
            </w:tblGrid>
            <w:tr w14:paraId="02A6F8D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1C4A1F2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7F07EFC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3AC3B2E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749063D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453F9D5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63A667C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5A7E903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2A007AE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3484998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4AF44BA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6A0908F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6144AEC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11826AE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25CCE950">
            <w:pPr>
              <w:jc w:val="center"/>
            </w:pPr>
          </w:p>
        </w:tc>
      </w:tr>
      <w:tr w14:paraId="1ABB2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2539AB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55CDC623">
            <w:pPr>
              <w:pStyle w:val="3"/>
              <w:keepNext w:val="0"/>
              <w:keepLines w:val="0"/>
              <w:widowControl/>
              <w:suppressLineNumbers w:val="0"/>
              <w:spacing w:line="300" w:lineRule="atLeast"/>
              <w:jc w:val="both"/>
            </w:pPr>
            <w:r>
              <w:t>1. 以习近平新时代中国特色社会主义思想为指导，全面贯彻党的教育方针，培养拥护中国共产党的领导，热爱祖国，遵纪守法，具有服务国家与人民的高度社会责任感、良好的职业道德与创业精神、科学严谨和求真务实的学习态度与工作作风、德智体美劳全面发展的材料与化工专门人才；</w:t>
            </w:r>
          </w:p>
          <w:p w14:paraId="6EFB97E1">
            <w:pPr>
              <w:pStyle w:val="3"/>
              <w:keepNext w:val="0"/>
              <w:keepLines w:val="0"/>
              <w:widowControl/>
              <w:suppressLineNumbers w:val="0"/>
              <w:spacing w:line="300" w:lineRule="atLeast"/>
              <w:jc w:val="both"/>
            </w:pPr>
            <w:r>
              <w:t>2. 针对国家在功能材料、新型纳米材料以及功能器件等未来核心技术发展的需求，培养在这些领域基础扎实、熟悉国内外研究和产品现状、工程实践能力强、素质全面，并且具有创新能力的应用型、复合型高层次工程技术和工程管理人才。</w:t>
            </w:r>
          </w:p>
        </w:tc>
      </w:tr>
      <w:tr w14:paraId="586BD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35ED27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5BA3BF47">
            <w:pPr>
              <w:pStyle w:val="3"/>
              <w:keepNext w:val="0"/>
              <w:keepLines w:val="0"/>
              <w:widowControl/>
              <w:suppressLineNumbers w:val="0"/>
              <w:spacing w:line="300" w:lineRule="atLeast"/>
              <w:jc w:val="both"/>
            </w:pPr>
            <w:r>
              <w:t>1. 应掌握的基本知识</w:t>
            </w:r>
          </w:p>
          <w:p w14:paraId="26B550D5">
            <w:pPr>
              <w:pStyle w:val="3"/>
              <w:keepNext w:val="0"/>
              <w:keepLines w:val="0"/>
              <w:widowControl/>
              <w:suppressLineNumbers w:val="0"/>
              <w:spacing w:line="300" w:lineRule="atLeast"/>
              <w:jc w:val="both"/>
            </w:pPr>
            <w:r>
              <w:t xml:space="preserve">    硕士生应通过在本学科相关领域的课程学习和科学研究，具有较扎实的理论基础，又有较宽的知识面，较系统地掌握本学科相关领域的专门知识、技术和方法，能够解决科学研究或实际工作中的具体问题。比较熟练地掌握一门外语，能够进行外文文献阅读和写作。具有从事本学科相关领域的科学研究、教学、工程、技术及管理等方面的工作能力。</w:t>
            </w:r>
          </w:p>
          <w:p w14:paraId="32BDC7B1">
            <w:pPr>
              <w:pStyle w:val="3"/>
              <w:keepNext w:val="0"/>
              <w:keepLines w:val="0"/>
              <w:widowControl/>
              <w:suppressLineNumbers w:val="0"/>
              <w:spacing w:line="300" w:lineRule="atLeast"/>
              <w:jc w:val="both"/>
            </w:pPr>
            <w:r>
              <w:t>2. 应具备的基本素质</w:t>
            </w:r>
          </w:p>
          <w:p w14:paraId="42F9FEC7">
            <w:pPr>
              <w:pStyle w:val="3"/>
              <w:keepNext w:val="0"/>
              <w:keepLines w:val="0"/>
              <w:widowControl/>
              <w:suppressLineNumbers w:val="0"/>
              <w:spacing w:line="300" w:lineRule="atLeast"/>
              <w:jc w:val="both"/>
            </w:pPr>
            <w:r>
              <w:t>⑴学术素养</w:t>
            </w:r>
          </w:p>
          <w:p w14:paraId="040E3536">
            <w:pPr>
              <w:pStyle w:val="3"/>
              <w:keepNext w:val="0"/>
              <w:keepLines w:val="0"/>
              <w:widowControl/>
              <w:suppressLineNumbers w:val="0"/>
              <w:spacing w:line="300" w:lineRule="atLeast"/>
              <w:jc w:val="both"/>
            </w:pPr>
            <w:r>
              <w:t xml:space="preserve">    在掌握材料科学与工程学科系统知识的基础上，具备灵活运用知识的能力，知识面广，可以提出并解决部分科研问题。有一定的学术素养、创新意识和创新精神，基本掌握本学科的发展现状，了解本学科相关的知识产权、具有崇尚科学的精神。在研究过程中，要对本领域相关材料的发现权、相关观点的发明权准确表述。应具有严谨的学术态度，实事求是地进行各项试验，客观全面地展示实验结果，具有一定的对研究结果进行分析的能力，以及进行学术讨论的能力，勇于批评和质疑，并提出建设性意见和建议。</w:t>
            </w:r>
          </w:p>
          <w:p w14:paraId="204A6AFE">
            <w:pPr>
              <w:pStyle w:val="3"/>
              <w:keepNext w:val="0"/>
              <w:keepLines w:val="0"/>
              <w:widowControl/>
              <w:suppressLineNumbers w:val="0"/>
              <w:spacing w:line="300" w:lineRule="atLeast"/>
              <w:jc w:val="both"/>
            </w:pPr>
            <w:r>
              <w:t>⑵学术道德</w:t>
            </w:r>
          </w:p>
          <w:p w14:paraId="64275847">
            <w:pPr>
              <w:pStyle w:val="3"/>
              <w:keepNext w:val="0"/>
              <w:keepLines w:val="0"/>
              <w:widowControl/>
              <w:suppressLineNumbers w:val="0"/>
              <w:spacing w:line="300" w:lineRule="atLeast"/>
              <w:jc w:val="both"/>
            </w:pPr>
            <w:r>
              <w:t xml:space="preserve">    倡导实事求是、坚持真理、学风严谨的优良风气，发扬学术民主，鼓励学术创新；正确对待学术研究中的名和利；反对在科学研究中沽名钓誉、弄虚作假。</w:t>
            </w:r>
          </w:p>
          <w:p w14:paraId="6D337C80">
            <w:pPr>
              <w:pStyle w:val="3"/>
              <w:keepNext w:val="0"/>
              <w:keepLines w:val="0"/>
              <w:widowControl/>
              <w:suppressLineNumbers w:val="0"/>
              <w:spacing w:line="300" w:lineRule="atLeast"/>
              <w:jc w:val="both"/>
            </w:pPr>
            <w:r>
              <w:t>①在学术活动中，应严格遵守国家有关法律、法规，及学校等部门相关的规章制度，要遵从并符合社会准则。要具有献身科技、服务社会的使命感和责任感。</w:t>
            </w:r>
          </w:p>
          <w:p w14:paraId="22B53D8B">
            <w:pPr>
              <w:pStyle w:val="3"/>
              <w:keepNext w:val="0"/>
              <w:keepLines w:val="0"/>
              <w:widowControl/>
              <w:suppressLineNumbers w:val="0"/>
              <w:spacing w:line="300" w:lineRule="atLeast"/>
              <w:jc w:val="both"/>
            </w:pPr>
            <w:r>
              <w:t>②学术研究要尊重他人的知识产权。在作品中引用他人的成果，必须注明出处；所引用的部分不能是构成引用人作品的主要部分或者实质部分；从他人作品转引第三人成果，应注明转引出处。</w:t>
            </w:r>
          </w:p>
          <w:p w14:paraId="3C4723CD">
            <w:pPr>
              <w:pStyle w:val="3"/>
              <w:keepNext w:val="0"/>
              <w:keepLines w:val="0"/>
              <w:widowControl/>
              <w:suppressLineNumbers w:val="0"/>
              <w:spacing w:line="300" w:lineRule="atLeast"/>
              <w:jc w:val="both"/>
            </w:pPr>
            <w:r>
              <w:t>③合作研究成果应按照当事人对科学研究成果所作贡献大小并根据本人自愿原则依次顺序署名，或遵从学科署名惯例或作者共同的约定。任何合作研究成果在发表前要经过所有署名人审阅，所有署名人均应对作品承担相应责任，作品主持人应对作品负主要责任。</w:t>
            </w:r>
          </w:p>
          <w:p w14:paraId="51019328">
            <w:pPr>
              <w:pStyle w:val="3"/>
              <w:keepNext w:val="0"/>
              <w:keepLines w:val="0"/>
              <w:widowControl/>
              <w:suppressLineNumbers w:val="0"/>
              <w:spacing w:line="300" w:lineRule="atLeast"/>
              <w:jc w:val="both"/>
            </w:pPr>
            <w:r>
              <w:t>④在对自己或他人的研究成果进行介绍、评价时，应遵循客观、公正、准确的原则。</w:t>
            </w:r>
          </w:p>
          <w:p w14:paraId="5668FE41">
            <w:pPr>
              <w:pStyle w:val="3"/>
              <w:keepNext w:val="0"/>
              <w:keepLines w:val="0"/>
              <w:widowControl/>
              <w:suppressLineNumbers w:val="0"/>
              <w:spacing w:line="300" w:lineRule="atLeast"/>
              <w:jc w:val="both"/>
            </w:pPr>
            <w:r>
              <w:t>⑤应严格遵守和维护国家安全、信息安全、生态安全、健康安全等方面的规定，高度重视保密工作。</w:t>
            </w:r>
          </w:p>
          <w:p w14:paraId="4FFC7AF0">
            <w:pPr>
              <w:pStyle w:val="3"/>
              <w:keepNext w:val="0"/>
              <w:keepLines w:val="0"/>
              <w:widowControl/>
              <w:suppressLineNumbers w:val="0"/>
              <w:spacing w:line="300" w:lineRule="atLeast"/>
              <w:jc w:val="both"/>
            </w:pPr>
            <w:r>
              <w:t>⑥不得有剽窃、抄袭、伪造、篡改实验数据、私自署名、泄密和其他违背学术界公认的学术规范的行为。</w:t>
            </w:r>
          </w:p>
          <w:p w14:paraId="688F1504">
            <w:pPr>
              <w:pStyle w:val="3"/>
              <w:keepNext w:val="0"/>
              <w:keepLines w:val="0"/>
              <w:widowControl/>
              <w:suppressLineNumbers w:val="0"/>
              <w:spacing w:line="300" w:lineRule="atLeast"/>
              <w:jc w:val="both"/>
            </w:pPr>
            <w:r>
              <w:t>3. 所掌握的基本学术能力</w:t>
            </w:r>
          </w:p>
          <w:p w14:paraId="5C8D77C5">
            <w:pPr>
              <w:pStyle w:val="3"/>
              <w:keepNext w:val="0"/>
              <w:keepLines w:val="0"/>
              <w:widowControl/>
              <w:suppressLineNumbers w:val="0"/>
              <w:spacing w:line="300" w:lineRule="atLeast"/>
              <w:jc w:val="both"/>
            </w:pPr>
            <w:r>
              <w:t>⑴掌握一门外国语。</w:t>
            </w:r>
          </w:p>
          <w:p w14:paraId="2EFF0CE1">
            <w:pPr>
              <w:pStyle w:val="3"/>
              <w:keepNext w:val="0"/>
              <w:keepLines w:val="0"/>
              <w:widowControl/>
              <w:suppressLineNumbers w:val="0"/>
              <w:spacing w:line="300" w:lineRule="atLeast"/>
              <w:jc w:val="both"/>
            </w:pPr>
            <w:r>
              <w:t xml:space="preserve">    参加《综合英语》课程学习，并考试通过取得学分。英语免修直接获得学分。</w:t>
            </w:r>
          </w:p>
          <w:p w14:paraId="6B68ABCE">
            <w:pPr>
              <w:pStyle w:val="3"/>
              <w:keepNext w:val="0"/>
              <w:keepLines w:val="0"/>
              <w:widowControl/>
              <w:suppressLineNumbers w:val="0"/>
              <w:spacing w:line="300" w:lineRule="atLeast"/>
              <w:jc w:val="both"/>
            </w:pPr>
            <w:r>
              <w:t>⑵获取知识能力</w:t>
            </w:r>
          </w:p>
          <w:p w14:paraId="60579DE6">
            <w:pPr>
              <w:pStyle w:val="3"/>
              <w:keepNext w:val="0"/>
              <w:keepLines w:val="0"/>
              <w:widowControl/>
              <w:suppressLineNumbers w:val="0"/>
              <w:spacing w:line="300" w:lineRule="atLeast"/>
              <w:jc w:val="both"/>
            </w:pPr>
            <w:r>
              <w:t xml:space="preserve">    具备独立检索和查阅科学文献、专利和其他资料的能力，掌握获取知识的方法和途径，并善于归纳和总结，能够理清研究领域的进展脉络和主要理论派别，能够独立完成文献综述，客观评价国内外研究现状和存在问题。</w:t>
            </w:r>
          </w:p>
          <w:p w14:paraId="1743DFB7">
            <w:pPr>
              <w:pStyle w:val="3"/>
              <w:keepNext w:val="0"/>
              <w:keepLines w:val="0"/>
              <w:widowControl/>
              <w:suppressLineNumbers w:val="0"/>
              <w:spacing w:line="300" w:lineRule="atLeast"/>
              <w:jc w:val="both"/>
            </w:pPr>
            <w:r>
              <w:t>⑶科技研发能力</w:t>
            </w:r>
          </w:p>
          <w:p w14:paraId="4A8AA9B3">
            <w:pPr>
              <w:pStyle w:val="3"/>
              <w:keepNext w:val="0"/>
              <w:keepLines w:val="0"/>
              <w:widowControl/>
              <w:suppressLineNumbers w:val="0"/>
              <w:spacing w:line="300" w:lineRule="atLeast"/>
              <w:jc w:val="both"/>
            </w:pPr>
            <w:r>
              <w:t xml:space="preserve">    结合个人对本领域研究进展的掌握，在导师组（导师组由培养单位具有较高学术水平和丰富指导经验的教师及来自企业具有丰富工程实践经验的专家所组成）指导下制定总体研究方案，确定研究内容，提出切实可行的技术路线等。进而，能独立实施并完成既定的研究方案和内容，并能及时总结和分析研究结果。对于权威或他人的结果不迷信，也不轻易否定，而是能够科学地分析、客观地评价，认识到可以借鉴或需要改进的地方，不断取长补短，提高自己的科研水平。</w:t>
            </w:r>
          </w:p>
          <w:p w14:paraId="7D011E59">
            <w:pPr>
              <w:pStyle w:val="3"/>
              <w:keepNext w:val="0"/>
              <w:keepLines w:val="0"/>
              <w:widowControl/>
              <w:suppressLineNumbers w:val="0"/>
              <w:spacing w:line="300" w:lineRule="atLeast"/>
              <w:jc w:val="both"/>
            </w:pPr>
            <w:r>
              <w:t>⑷实践能力</w:t>
            </w:r>
          </w:p>
          <w:p w14:paraId="2B377EA6">
            <w:pPr>
              <w:pStyle w:val="3"/>
              <w:keepNext w:val="0"/>
              <w:keepLines w:val="0"/>
              <w:widowControl/>
              <w:suppressLineNumbers w:val="0"/>
              <w:spacing w:line="300" w:lineRule="atLeast"/>
              <w:jc w:val="both"/>
            </w:pPr>
            <w:r>
              <w:t xml:space="preserve">    通过培养和锻炼，具备学术研究或技术开发的能力，掌握相关的实验技能。掌握常用的材料学研究方法，能够使用相关的仪器设备进行科学研究，对所研究的材料的工程应用有一定的认识，在实验中增强动手能力。</w:t>
            </w:r>
          </w:p>
          <w:p w14:paraId="5073B33D">
            <w:pPr>
              <w:pStyle w:val="3"/>
              <w:keepNext w:val="0"/>
              <w:keepLines w:val="0"/>
              <w:widowControl/>
              <w:suppressLineNumbers w:val="0"/>
              <w:spacing w:line="300" w:lineRule="atLeast"/>
              <w:jc w:val="both"/>
            </w:pPr>
            <w:r>
              <w:t>⑸学术交流能力</w:t>
            </w:r>
          </w:p>
          <w:p w14:paraId="2010F4C9">
            <w:pPr>
              <w:pStyle w:val="3"/>
              <w:keepNext w:val="0"/>
              <w:keepLines w:val="0"/>
              <w:widowControl/>
              <w:suppressLineNumbers w:val="0"/>
              <w:spacing w:line="300" w:lineRule="atLeast"/>
              <w:jc w:val="both"/>
            </w:pPr>
            <w:r>
              <w:t xml:space="preserve">    参加学术活动与学术报告，能熟练地进行学术交流、正确地表达学术思想、展示学术成果。能够与他人合作共同解决研究或技术开发中所遇到的关键科学和技术问题，具有良好的团队合作精神，能做到及时同专家、老师及其他研究生讨论，积极发表自己观点，融会贯通，提高水平。</w:t>
            </w:r>
          </w:p>
        </w:tc>
      </w:tr>
      <w:tr w14:paraId="0A009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D63111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502F43DA">
            <w:pPr>
              <w:pStyle w:val="3"/>
              <w:keepNext w:val="0"/>
              <w:keepLines w:val="0"/>
              <w:widowControl/>
              <w:suppressLineNumbers w:val="0"/>
              <w:spacing w:line="300" w:lineRule="atLeast"/>
              <w:jc w:val="both"/>
            </w:pPr>
            <w:r>
              <w:t xml:space="preserve">    该学科研究培养方向主要为：金属材料、无机非金属材料、高分子材料和复合材料及其工程化应用。</w:t>
            </w:r>
          </w:p>
          <w:p w14:paraId="19F06486">
            <w:pPr>
              <w:pStyle w:val="3"/>
              <w:keepNext w:val="0"/>
              <w:keepLines w:val="0"/>
              <w:widowControl/>
              <w:suppressLineNumbers w:val="0"/>
              <w:spacing w:line="300" w:lineRule="atLeast"/>
              <w:jc w:val="both"/>
            </w:pPr>
            <w:r>
              <w:t xml:space="preserve">    根据工程技术人员的工作性质，该学科培养范围又可涉及如下方面：从事新材料的研究和开发、材料的生产工艺和设备的开发和设计、材料的特性分析和试验、材料成品的检测与质量控制、材料制品的加工及改性、材料制造业的管理和技术经济分析等。</w:t>
            </w:r>
          </w:p>
        </w:tc>
      </w:tr>
      <w:tr w14:paraId="648DE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BEFD01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2574A084">
            <w:pPr>
              <w:pStyle w:val="3"/>
              <w:keepNext w:val="0"/>
              <w:keepLines w:val="0"/>
              <w:widowControl/>
              <w:suppressLineNumbers w:val="0"/>
              <w:spacing w:line="300" w:lineRule="atLeast"/>
              <w:jc w:val="both"/>
            </w:pPr>
            <w:r>
              <w:t xml:space="preserve">    专业学位硕士的培养主要面向未来工程技术领域需要，重点培养工程实践能力和工程实用技能。课程学习注重理论联系实际，采取授课和教师指导自学相结合的方式进行。课程学习在学校授课，并组织考试。专业学位硕士培养实行导师制，由校内具有工程实践经验的高级职称教师指导。在导师的指导下，制定个人培养计划，作为目标管理的主要依据之一。专业学位研究生的培养采用“三模块”培养方式，即课程学习＋专业实践＋学位论文。</w:t>
            </w:r>
          </w:p>
          <w:p w14:paraId="485790D3">
            <w:pPr>
              <w:pStyle w:val="3"/>
              <w:keepNext w:val="0"/>
              <w:keepLines w:val="0"/>
              <w:widowControl/>
              <w:suppressLineNumbers w:val="0"/>
              <w:spacing w:line="300" w:lineRule="atLeast"/>
              <w:jc w:val="both"/>
            </w:pPr>
            <w:r>
              <w:t xml:space="preserve">    专业学位研究生的具体培养环节有：课程学习、专业实践、开题报告、中期考核、论文评阅与答辩等。其中课程学习、开题报告、中期考核、论文评阅与答辩与学术型研究生同期进行。专业实践安排在研究生学习阶段的中后期进行。专业学位研究生需全部通过以上培养环节方可获得学位。</w:t>
            </w:r>
          </w:p>
        </w:tc>
      </w:tr>
      <w:tr w14:paraId="0DA9E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B17E48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4C0D0885">
            <w:pPr>
              <w:pStyle w:val="3"/>
              <w:keepNext w:val="0"/>
              <w:keepLines w:val="0"/>
              <w:widowControl/>
              <w:suppressLineNumbers w:val="0"/>
              <w:spacing w:line="300" w:lineRule="atLeast"/>
              <w:jc w:val="both"/>
            </w:pPr>
            <w:r>
              <w:t xml:space="preserve">    论文工作须在导师组指导下，导师同意其研究生参加学位论文答辩，研究生方可提出学位申请。研究工作由工程类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p w14:paraId="0A290A26">
            <w:pPr>
              <w:pStyle w:val="3"/>
              <w:keepNext w:val="0"/>
              <w:keepLines w:val="0"/>
              <w:widowControl/>
              <w:suppressLineNumbers w:val="0"/>
              <w:spacing w:line="300" w:lineRule="atLeast"/>
              <w:jc w:val="both"/>
            </w:pPr>
            <w:r>
              <w:t>1．选题与综述的要求</w:t>
            </w:r>
          </w:p>
          <w:p w14:paraId="724B0EB5">
            <w:pPr>
              <w:pStyle w:val="3"/>
              <w:keepNext w:val="0"/>
              <w:keepLines w:val="0"/>
              <w:widowControl/>
              <w:suppressLineNumbers w:val="0"/>
              <w:spacing w:line="300" w:lineRule="atLeast"/>
              <w:jc w:val="both"/>
            </w:pPr>
            <w:r>
              <w:t xml:space="preserve">    论文选题应来源于工程实际或者具有明确的工程应用背景，可以是一个完整的工程技术项目的设计或研究课题，可以是技术攻关、技术改造专题，可以是新工艺、新设备、新材料、新产品的研制与开发等。论文综述部分应包括至少如下几部分: (1)研究问题的历史沿革、研究现状或提出背景；(2)研究问题的阶段性进展或已有基础；(3)尚未解决的问题及其原因或瓶颈；(4)研究的思路、目标以及主要的关键技术问题，技术路径和简要技术路线等。</w:t>
            </w:r>
          </w:p>
          <w:p w14:paraId="0C16BC06">
            <w:pPr>
              <w:pStyle w:val="3"/>
              <w:keepNext w:val="0"/>
              <w:keepLines w:val="0"/>
              <w:widowControl/>
              <w:suppressLineNumbers w:val="0"/>
              <w:spacing w:line="300" w:lineRule="atLeast"/>
              <w:jc w:val="both"/>
            </w:pPr>
            <w:r>
              <w:t>2．规范性要求</w:t>
            </w:r>
          </w:p>
          <w:p w14:paraId="069E6283">
            <w:pPr>
              <w:pStyle w:val="3"/>
              <w:keepNext w:val="0"/>
              <w:keepLines w:val="0"/>
              <w:widowControl/>
              <w:suppressLineNumbers w:val="0"/>
              <w:spacing w:line="300" w:lineRule="atLeast"/>
              <w:jc w:val="both"/>
            </w:pPr>
            <w:r>
              <w:t xml:space="preserve">    本专业领域硕士学位论文要求主要有:(1)学位论文应具有一定的学术意义或实用价值。论文应表明作者具有从事科学研究工作的能力，在科学或专门技术上做出有一定创新性的成果，并反映出作者掌握了本学科的基础理论和系统的专门知识。(2)选题和开题的必要条件是，修满培养计划规定的学分并具备从事实验研究必需的技能或从事理论研究的知识积累。(3)在入学的一年半内完成开题报告。(4)硕士学位论文应在导师指导下由硕士生本人独立完成，实验和论文写作时间不少于一年半。(5)硕士学位论文要求文句简练、印刷工整、图表清晰、层次分明、学风严谨、计算无误、数据可靠、结论正确。(6)学位论文内容应包括:①简要说明选题的学术意义或应用价值，国内外研究动态，需要解决的问题和技术途径以及本人所做出的工作。②说明所采用的理论与实验方法或计算方法，并将整理和处理的数据进行理论上的分析和讨论。③对所得结果进行概括和总结，并提出进一步研究的看法和建议。④写出必要的公式、计算方法和算法、必要的原始数据以及所引用的文件和资料。⑤引用别人的科研成果和与别人合作的部分应以适当方式标注。</w:t>
            </w:r>
          </w:p>
          <w:p w14:paraId="36A2B909">
            <w:pPr>
              <w:pStyle w:val="3"/>
              <w:keepNext w:val="0"/>
              <w:keepLines w:val="0"/>
              <w:widowControl/>
              <w:suppressLineNumbers w:val="0"/>
              <w:spacing w:line="300" w:lineRule="atLeast"/>
              <w:jc w:val="both"/>
            </w:pPr>
            <w:r>
              <w:t>3.论文应在2万字以上，且与本人核心研究内容相关的字数应占60%以上。</w:t>
            </w:r>
          </w:p>
          <w:p w14:paraId="1F6070AA">
            <w:pPr>
              <w:pStyle w:val="3"/>
              <w:keepNext w:val="0"/>
              <w:keepLines w:val="0"/>
              <w:widowControl/>
              <w:suppressLineNumbers w:val="0"/>
              <w:spacing w:line="300" w:lineRule="atLeast"/>
              <w:jc w:val="both"/>
            </w:pPr>
            <w:r>
              <w:t>4.学位论文应进行查重检查，查重率不得超过10%。</w:t>
            </w:r>
          </w:p>
          <w:p w14:paraId="15429960">
            <w:pPr>
              <w:pStyle w:val="3"/>
              <w:keepNext w:val="0"/>
              <w:keepLines w:val="0"/>
              <w:widowControl/>
              <w:suppressLineNumbers w:val="0"/>
              <w:spacing w:line="300" w:lineRule="atLeast"/>
              <w:jc w:val="both"/>
            </w:pPr>
            <w:r>
              <w:t>5.通过学科点预审，研究生学位论文方可送审。</w:t>
            </w:r>
          </w:p>
          <w:p w14:paraId="1BF17C12">
            <w:pPr>
              <w:pStyle w:val="3"/>
              <w:keepNext w:val="0"/>
              <w:keepLines w:val="0"/>
              <w:widowControl/>
              <w:suppressLineNumbers w:val="0"/>
              <w:spacing w:line="300" w:lineRule="atLeast"/>
              <w:jc w:val="both"/>
            </w:pPr>
            <w:r>
              <w:t>6.成果创新性要求</w:t>
            </w:r>
          </w:p>
          <w:p w14:paraId="3A3515F6">
            <w:pPr>
              <w:pStyle w:val="3"/>
              <w:keepNext w:val="0"/>
              <w:keepLines w:val="0"/>
              <w:widowControl/>
              <w:suppressLineNumbers w:val="0"/>
              <w:spacing w:line="300" w:lineRule="atLeast"/>
              <w:jc w:val="both"/>
            </w:pPr>
            <w:r>
              <w:t>硕士专业学位研究生取得成果需满足以下要求之一：</w:t>
            </w:r>
          </w:p>
          <w:p w14:paraId="14CD4AE3">
            <w:pPr>
              <w:pStyle w:val="3"/>
              <w:keepNext w:val="0"/>
              <w:keepLines w:val="0"/>
              <w:widowControl/>
              <w:suppressLineNumbers w:val="0"/>
              <w:spacing w:line="300" w:lineRule="atLeast"/>
              <w:jc w:val="both"/>
            </w:pPr>
            <w:r>
              <w:t>(1)第一作者（或者导师第一作者，学生第二作者）申请发明专利1项。</w:t>
            </w:r>
          </w:p>
          <w:p w14:paraId="61DB7B1B">
            <w:pPr>
              <w:pStyle w:val="3"/>
              <w:keepNext w:val="0"/>
              <w:keepLines w:val="0"/>
              <w:widowControl/>
              <w:suppressLineNumbers w:val="0"/>
              <w:spacing w:line="300" w:lineRule="atLeast"/>
              <w:jc w:val="both"/>
            </w:pPr>
            <w:r>
              <w:t>(2)获得实践单位认可或被采纳应用的技术改进、工艺优化、产品设计等工程技术领域的创新成果。</w:t>
            </w:r>
          </w:p>
          <w:p w14:paraId="6E6D8756">
            <w:pPr>
              <w:pStyle w:val="3"/>
              <w:keepNext w:val="0"/>
              <w:keepLines w:val="0"/>
              <w:widowControl/>
              <w:suppressLineNumbers w:val="0"/>
              <w:spacing w:line="300" w:lineRule="atLeast"/>
              <w:jc w:val="both"/>
            </w:pPr>
            <w:r>
              <w:t>(3)作为作者之一，获得行业、部门、协会或省部级及以上奖励。</w:t>
            </w:r>
          </w:p>
          <w:p w14:paraId="7BE7D048">
            <w:pPr>
              <w:pStyle w:val="3"/>
              <w:keepNext w:val="0"/>
              <w:keepLines w:val="0"/>
              <w:widowControl/>
              <w:suppressLineNumbers w:val="0"/>
              <w:spacing w:line="300" w:lineRule="atLeast"/>
              <w:jc w:val="both"/>
            </w:pPr>
            <w:r>
              <w:t xml:space="preserve">    在学期间，若研究生无专利申请或无其他科研成果，经导师同意，其硕士学位论文可以申请匿名评审。</w:t>
            </w:r>
          </w:p>
        </w:tc>
      </w:tr>
      <w:tr w14:paraId="1293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40CCDD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5CC4C81D">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08E46B8C">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28105818">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5661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42E7A95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54109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57"/>
              <w:gridCol w:w="1967"/>
              <w:gridCol w:w="435"/>
              <w:gridCol w:w="435"/>
              <w:gridCol w:w="483"/>
              <w:gridCol w:w="1557"/>
              <w:gridCol w:w="746"/>
            </w:tblGrid>
            <w:tr w14:paraId="5202806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PrEx>
              <w:trPr>
                <w:jc w:val="center"/>
              </w:trPr>
              <w:tc>
                <w:tcPr>
                  <w:tcW w:w="1110" w:type="dxa"/>
                  <w:shd w:val="clear" w:color="auto" w:fill="auto"/>
                  <w:vAlign w:val="center"/>
                </w:tcPr>
                <w:p w14:paraId="5A5647B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5A321AF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354F126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568529F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48F7440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0E3CDB9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41C5AF6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04543C8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7213149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3CC3A6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35E96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07C97E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3AAA48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4898AB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292D9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5B0C7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321F1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B321E20">
                  <w:pPr>
                    <w:jc w:val="center"/>
                    <w:rPr>
                      <w:rFonts w:hint="eastAsia" w:ascii="宋体"/>
                      <w:sz w:val="10"/>
                      <w:szCs w:val="10"/>
                    </w:rPr>
                  </w:pPr>
                </w:p>
              </w:tc>
            </w:tr>
            <w:tr w14:paraId="08AEE1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0" w:type="auto"/>
                  <w:vMerge w:val="continue"/>
                  <w:shd w:val="clear" w:color="auto" w:fill="auto"/>
                  <w:vAlign w:val="center"/>
                </w:tcPr>
                <w:p w14:paraId="79B97853">
                  <w:pPr>
                    <w:jc w:val="center"/>
                    <w:rPr>
                      <w:rFonts w:hint="eastAsia" w:ascii="宋体"/>
                      <w:sz w:val="10"/>
                      <w:szCs w:val="10"/>
                    </w:rPr>
                  </w:pPr>
                </w:p>
              </w:tc>
              <w:tc>
                <w:tcPr>
                  <w:tcW w:w="0" w:type="auto"/>
                  <w:shd w:val="clear" w:color="auto" w:fill="auto"/>
                  <w:vAlign w:val="center"/>
                </w:tcPr>
                <w:p w14:paraId="33AA0C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6E8367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594592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44F1A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08AC5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E7CC9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CBE5B63">
                  <w:pPr>
                    <w:jc w:val="center"/>
                    <w:rPr>
                      <w:rFonts w:hint="eastAsia" w:ascii="宋体"/>
                      <w:sz w:val="10"/>
                      <w:szCs w:val="10"/>
                    </w:rPr>
                  </w:pPr>
                </w:p>
              </w:tc>
            </w:tr>
            <w:tr w14:paraId="3850C8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E2C3584">
                  <w:pPr>
                    <w:jc w:val="center"/>
                    <w:rPr>
                      <w:rFonts w:hint="eastAsia" w:ascii="宋体"/>
                      <w:sz w:val="10"/>
                      <w:szCs w:val="10"/>
                    </w:rPr>
                  </w:pPr>
                </w:p>
              </w:tc>
              <w:tc>
                <w:tcPr>
                  <w:tcW w:w="0" w:type="auto"/>
                  <w:shd w:val="clear" w:color="auto" w:fill="auto"/>
                  <w:vAlign w:val="center"/>
                </w:tcPr>
                <w:p w14:paraId="6A2FED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3843D2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76BBB9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FE4FE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35E4C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434B2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33C43E6F">
                  <w:pPr>
                    <w:jc w:val="center"/>
                    <w:rPr>
                      <w:rFonts w:hint="eastAsia" w:ascii="宋体"/>
                      <w:sz w:val="10"/>
                      <w:szCs w:val="10"/>
                    </w:rPr>
                  </w:pPr>
                </w:p>
              </w:tc>
            </w:tr>
            <w:tr w14:paraId="1CBDCC3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DB45AD">
                  <w:pPr>
                    <w:jc w:val="center"/>
                    <w:rPr>
                      <w:rFonts w:hint="eastAsia" w:ascii="宋体"/>
                      <w:sz w:val="10"/>
                      <w:szCs w:val="10"/>
                    </w:rPr>
                  </w:pPr>
                </w:p>
              </w:tc>
              <w:tc>
                <w:tcPr>
                  <w:tcW w:w="0" w:type="auto"/>
                  <w:shd w:val="clear" w:color="auto" w:fill="auto"/>
                  <w:vAlign w:val="center"/>
                </w:tcPr>
                <w:p w14:paraId="2B68A1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558B0D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54B099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3E7233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63F25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10542435">
                  <w:pPr>
                    <w:jc w:val="center"/>
                    <w:rPr>
                      <w:rFonts w:hint="eastAsia" w:ascii="宋体"/>
                      <w:sz w:val="10"/>
                      <w:szCs w:val="10"/>
                    </w:rPr>
                  </w:pPr>
                </w:p>
              </w:tc>
              <w:tc>
                <w:tcPr>
                  <w:tcW w:w="860" w:type="dxa"/>
                  <w:shd w:val="clear" w:color="auto" w:fill="auto"/>
                  <w:vAlign w:val="center"/>
                </w:tcPr>
                <w:p w14:paraId="58511535">
                  <w:pPr>
                    <w:jc w:val="center"/>
                    <w:rPr>
                      <w:rFonts w:hint="eastAsia" w:ascii="宋体"/>
                      <w:sz w:val="10"/>
                      <w:szCs w:val="10"/>
                    </w:rPr>
                  </w:pPr>
                </w:p>
              </w:tc>
            </w:tr>
            <w:tr w14:paraId="4775C7A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6A19487">
                  <w:pPr>
                    <w:jc w:val="center"/>
                    <w:rPr>
                      <w:rFonts w:hint="eastAsia" w:ascii="宋体"/>
                      <w:sz w:val="10"/>
                      <w:szCs w:val="10"/>
                    </w:rPr>
                  </w:pPr>
                </w:p>
              </w:tc>
              <w:tc>
                <w:tcPr>
                  <w:tcW w:w="0" w:type="auto"/>
                  <w:shd w:val="clear" w:color="auto" w:fill="auto"/>
                  <w:vAlign w:val="center"/>
                </w:tcPr>
                <w:p w14:paraId="3D54F9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1C6082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287380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FFDF0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0D3EC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05FB1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2B0EF03D">
                  <w:pPr>
                    <w:jc w:val="center"/>
                    <w:rPr>
                      <w:rFonts w:hint="eastAsia" w:ascii="宋体"/>
                      <w:sz w:val="10"/>
                      <w:szCs w:val="10"/>
                    </w:rPr>
                  </w:pPr>
                </w:p>
              </w:tc>
            </w:tr>
            <w:tr w14:paraId="0791C3B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6327668">
                  <w:pPr>
                    <w:jc w:val="center"/>
                    <w:rPr>
                      <w:rFonts w:hint="eastAsia" w:ascii="宋体"/>
                      <w:sz w:val="10"/>
                      <w:szCs w:val="10"/>
                    </w:rPr>
                  </w:pPr>
                </w:p>
              </w:tc>
              <w:tc>
                <w:tcPr>
                  <w:tcW w:w="0" w:type="auto"/>
                  <w:shd w:val="clear" w:color="auto" w:fill="auto"/>
                  <w:vAlign w:val="center"/>
                </w:tcPr>
                <w:p w14:paraId="3AB6A2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150FE6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60963A48">
                  <w:pPr>
                    <w:jc w:val="center"/>
                    <w:rPr>
                      <w:rFonts w:hint="eastAsia" w:ascii="宋体"/>
                      <w:sz w:val="10"/>
                      <w:szCs w:val="10"/>
                    </w:rPr>
                  </w:pPr>
                </w:p>
              </w:tc>
              <w:tc>
                <w:tcPr>
                  <w:tcW w:w="0" w:type="auto"/>
                  <w:shd w:val="clear" w:color="auto" w:fill="auto"/>
                  <w:vAlign w:val="center"/>
                </w:tcPr>
                <w:p w14:paraId="18C347BC">
                  <w:pPr>
                    <w:jc w:val="center"/>
                    <w:rPr>
                      <w:rFonts w:hint="eastAsia" w:ascii="宋体"/>
                      <w:sz w:val="10"/>
                      <w:szCs w:val="10"/>
                    </w:rPr>
                  </w:pPr>
                </w:p>
              </w:tc>
              <w:tc>
                <w:tcPr>
                  <w:tcW w:w="0" w:type="auto"/>
                  <w:shd w:val="clear" w:color="auto" w:fill="auto"/>
                  <w:vAlign w:val="center"/>
                </w:tcPr>
                <w:p w14:paraId="4FD585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1478CC72">
                  <w:pPr>
                    <w:jc w:val="center"/>
                    <w:rPr>
                      <w:rFonts w:hint="eastAsia" w:ascii="宋体"/>
                      <w:sz w:val="10"/>
                      <w:szCs w:val="10"/>
                    </w:rPr>
                  </w:pPr>
                </w:p>
              </w:tc>
              <w:tc>
                <w:tcPr>
                  <w:tcW w:w="860" w:type="dxa"/>
                  <w:shd w:val="clear" w:color="auto" w:fill="auto"/>
                  <w:vAlign w:val="center"/>
                </w:tcPr>
                <w:p w14:paraId="5280DD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14E265B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121D560">
                  <w:pPr>
                    <w:jc w:val="center"/>
                    <w:rPr>
                      <w:rFonts w:hint="eastAsia" w:ascii="宋体"/>
                      <w:sz w:val="10"/>
                      <w:szCs w:val="10"/>
                    </w:rPr>
                  </w:pPr>
                </w:p>
              </w:tc>
              <w:tc>
                <w:tcPr>
                  <w:tcW w:w="0" w:type="auto"/>
                  <w:shd w:val="clear" w:color="auto" w:fill="auto"/>
                  <w:vAlign w:val="center"/>
                </w:tcPr>
                <w:p w14:paraId="7D6676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2B1A75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720593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FD3E7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50242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5FB2C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4874940">
                  <w:pPr>
                    <w:jc w:val="center"/>
                    <w:rPr>
                      <w:rFonts w:hint="eastAsia" w:ascii="宋体"/>
                      <w:sz w:val="10"/>
                      <w:szCs w:val="10"/>
                    </w:rPr>
                  </w:pPr>
                </w:p>
              </w:tc>
            </w:tr>
            <w:tr w14:paraId="05DC903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2D3C05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63E63B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730032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402162003</w:t>
                  </w:r>
                </w:p>
              </w:tc>
              <w:tc>
                <w:tcPr>
                  <w:tcW w:w="0" w:type="auto"/>
                  <w:shd w:val="clear" w:color="auto" w:fill="auto"/>
                  <w:vAlign w:val="center"/>
                </w:tcPr>
                <w:p w14:paraId="10771E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6A3C4B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5F516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35F19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6A4CE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2325C33">
                  <w:pPr>
                    <w:jc w:val="center"/>
                    <w:rPr>
                      <w:rFonts w:hint="eastAsia" w:ascii="宋体"/>
                      <w:sz w:val="10"/>
                      <w:szCs w:val="10"/>
                    </w:rPr>
                  </w:pPr>
                </w:p>
              </w:tc>
            </w:tr>
            <w:tr w14:paraId="7340077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3ABD438">
                  <w:pPr>
                    <w:jc w:val="center"/>
                    <w:rPr>
                      <w:rFonts w:hint="eastAsia" w:ascii="宋体"/>
                      <w:sz w:val="10"/>
                      <w:szCs w:val="10"/>
                    </w:rPr>
                  </w:pPr>
                </w:p>
              </w:tc>
              <w:tc>
                <w:tcPr>
                  <w:tcW w:w="0" w:type="auto"/>
                  <w:shd w:val="clear" w:color="auto" w:fill="auto"/>
                  <w:vAlign w:val="center"/>
                </w:tcPr>
                <w:p w14:paraId="6C904B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402162005</w:t>
                  </w:r>
                </w:p>
              </w:tc>
              <w:tc>
                <w:tcPr>
                  <w:tcW w:w="0" w:type="auto"/>
                  <w:shd w:val="clear" w:color="auto" w:fill="auto"/>
                  <w:vAlign w:val="center"/>
                </w:tcPr>
                <w:p w14:paraId="2BFEBF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76A2D2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555F3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F12B8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5B0424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87261FF">
                  <w:pPr>
                    <w:jc w:val="center"/>
                    <w:rPr>
                      <w:rFonts w:hint="eastAsia" w:ascii="宋体"/>
                      <w:sz w:val="10"/>
                      <w:szCs w:val="10"/>
                    </w:rPr>
                  </w:pPr>
                </w:p>
              </w:tc>
            </w:tr>
            <w:tr w14:paraId="6424D3C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DD3DADA">
                  <w:pPr>
                    <w:jc w:val="center"/>
                    <w:rPr>
                      <w:rFonts w:hint="eastAsia" w:ascii="宋体"/>
                      <w:sz w:val="10"/>
                      <w:szCs w:val="10"/>
                    </w:rPr>
                  </w:pPr>
                </w:p>
              </w:tc>
              <w:tc>
                <w:tcPr>
                  <w:tcW w:w="0" w:type="auto"/>
                  <w:shd w:val="clear" w:color="auto" w:fill="auto"/>
                  <w:vAlign w:val="center"/>
                </w:tcPr>
                <w:p w14:paraId="04823E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402162006</w:t>
                  </w:r>
                </w:p>
              </w:tc>
              <w:tc>
                <w:tcPr>
                  <w:tcW w:w="0" w:type="auto"/>
                  <w:shd w:val="clear" w:color="auto" w:fill="auto"/>
                  <w:vAlign w:val="center"/>
                </w:tcPr>
                <w:p w14:paraId="7068BB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6041DE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2E381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31BD7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22EF2C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8A699D8">
                  <w:pPr>
                    <w:jc w:val="center"/>
                    <w:rPr>
                      <w:rFonts w:hint="eastAsia" w:ascii="宋体"/>
                      <w:sz w:val="10"/>
                      <w:szCs w:val="10"/>
                    </w:rPr>
                  </w:pPr>
                </w:p>
              </w:tc>
            </w:tr>
            <w:tr w14:paraId="1642004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7F476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18BF3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tc>
              <w:tc>
                <w:tcPr>
                  <w:tcW w:w="0" w:type="auto"/>
                  <w:shd w:val="clear" w:color="auto" w:fill="auto"/>
                  <w:vAlign w:val="center"/>
                </w:tcPr>
                <w:p w14:paraId="4C5C9C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402172002</w:t>
                  </w:r>
                </w:p>
              </w:tc>
              <w:tc>
                <w:tcPr>
                  <w:tcW w:w="0" w:type="auto"/>
                  <w:shd w:val="clear" w:color="auto" w:fill="auto"/>
                  <w:vAlign w:val="center"/>
                </w:tcPr>
                <w:p w14:paraId="54F7DA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纳米能源材料设计及其在能源转换及储存领域应用</w:t>
                  </w:r>
                </w:p>
              </w:tc>
              <w:tc>
                <w:tcPr>
                  <w:tcW w:w="0" w:type="auto"/>
                  <w:shd w:val="clear" w:color="auto" w:fill="auto"/>
                  <w:vAlign w:val="center"/>
                </w:tcPr>
                <w:p w14:paraId="419165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461A1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8A418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57EEF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0160512">
                  <w:pPr>
                    <w:jc w:val="center"/>
                    <w:rPr>
                      <w:rFonts w:hint="eastAsia" w:ascii="宋体"/>
                      <w:sz w:val="10"/>
                      <w:szCs w:val="10"/>
                    </w:rPr>
                  </w:pPr>
                </w:p>
              </w:tc>
            </w:tr>
            <w:tr w14:paraId="560851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68C30A5">
                  <w:pPr>
                    <w:jc w:val="center"/>
                    <w:rPr>
                      <w:rFonts w:hint="eastAsia" w:ascii="宋体"/>
                      <w:sz w:val="10"/>
                      <w:szCs w:val="10"/>
                    </w:rPr>
                  </w:pPr>
                </w:p>
              </w:tc>
              <w:tc>
                <w:tcPr>
                  <w:tcW w:w="0" w:type="auto"/>
                  <w:shd w:val="clear" w:color="auto" w:fill="auto"/>
                  <w:vAlign w:val="center"/>
                </w:tcPr>
                <w:p w14:paraId="302E26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402172003</w:t>
                  </w:r>
                </w:p>
              </w:tc>
              <w:tc>
                <w:tcPr>
                  <w:tcW w:w="0" w:type="auto"/>
                  <w:shd w:val="clear" w:color="auto" w:fill="auto"/>
                  <w:vAlign w:val="center"/>
                </w:tcPr>
                <w:p w14:paraId="4955CC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07FA13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79AFF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DE314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7DDE3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552ACA9">
                  <w:pPr>
                    <w:jc w:val="center"/>
                    <w:rPr>
                      <w:rFonts w:hint="eastAsia" w:ascii="宋体"/>
                      <w:sz w:val="10"/>
                      <w:szCs w:val="10"/>
                    </w:rPr>
                  </w:pPr>
                </w:p>
              </w:tc>
            </w:tr>
            <w:tr w14:paraId="3D32262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06C70A8">
                  <w:pPr>
                    <w:jc w:val="center"/>
                    <w:rPr>
                      <w:rFonts w:hint="eastAsia" w:ascii="宋体"/>
                      <w:sz w:val="10"/>
                      <w:szCs w:val="10"/>
                    </w:rPr>
                  </w:pPr>
                </w:p>
              </w:tc>
              <w:tc>
                <w:tcPr>
                  <w:tcW w:w="0" w:type="auto"/>
                  <w:shd w:val="clear" w:color="auto" w:fill="auto"/>
                  <w:vAlign w:val="center"/>
                </w:tcPr>
                <w:p w14:paraId="57904D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402172004</w:t>
                  </w:r>
                </w:p>
              </w:tc>
              <w:tc>
                <w:tcPr>
                  <w:tcW w:w="0" w:type="auto"/>
                  <w:shd w:val="clear" w:color="auto" w:fill="auto"/>
                  <w:vAlign w:val="center"/>
                </w:tcPr>
                <w:p w14:paraId="12A4A6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纳米碳材料科学与工程</w:t>
                  </w:r>
                </w:p>
              </w:tc>
              <w:tc>
                <w:tcPr>
                  <w:tcW w:w="0" w:type="auto"/>
                  <w:shd w:val="clear" w:color="auto" w:fill="auto"/>
                  <w:vAlign w:val="center"/>
                </w:tcPr>
                <w:p w14:paraId="7DCC9D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F8D67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7AD84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7A2B25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59FA935">
                  <w:pPr>
                    <w:jc w:val="center"/>
                    <w:rPr>
                      <w:rFonts w:hint="eastAsia" w:ascii="宋体"/>
                      <w:sz w:val="10"/>
                      <w:szCs w:val="10"/>
                    </w:rPr>
                  </w:pPr>
                </w:p>
              </w:tc>
            </w:tr>
            <w:tr w14:paraId="01391C3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D034760">
                  <w:pPr>
                    <w:jc w:val="center"/>
                    <w:rPr>
                      <w:rFonts w:hint="eastAsia" w:ascii="宋体"/>
                      <w:sz w:val="10"/>
                      <w:szCs w:val="10"/>
                    </w:rPr>
                  </w:pPr>
                </w:p>
              </w:tc>
              <w:tc>
                <w:tcPr>
                  <w:tcW w:w="0" w:type="auto"/>
                  <w:shd w:val="clear" w:color="auto" w:fill="auto"/>
                  <w:vAlign w:val="center"/>
                </w:tcPr>
                <w:p w14:paraId="76958D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402172005</w:t>
                  </w:r>
                </w:p>
              </w:tc>
              <w:tc>
                <w:tcPr>
                  <w:tcW w:w="0" w:type="auto"/>
                  <w:shd w:val="clear" w:color="auto" w:fill="auto"/>
                  <w:vAlign w:val="center"/>
                </w:tcPr>
                <w:p w14:paraId="2A78C5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2A38B6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65C92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274D7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73042E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3FC451C">
                  <w:pPr>
                    <w:jc w:val="center"/>
                    <w:rPr>
                      <w:rFonts w:hint="eastAsia" w:ascii="宋体"/>
                      <w:sz w:val="10"/>
                      <w:szCs w:val="10"/>
                    </w:rPr>
                  </w:pPr>
                </w:p>
              </w:tc>
            </w:tr>
            <w:tr w14:paraId="1E0196D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C514116">
                  <w:pPr>
                    <w:jc w:val="center"/>
                    <w:rPr>
                      <w:rFonts w:hint="eastAsia" w:ascii="宋体"/>
                      <w:sz w:val="10"/>
                      <w:szCs w:val="10"/>
                    </w:rPr>
                  </w:pPr>
                </w:p>
              </w:tc>
              <w:tc>
                <w:tcPr>
                  <w:tcW w:w="0" w:type="auto"/>
                  <w:shd w:val="clear" w:color="auto" w:fill="auto"/>
                  <w:vAlign w:val="center"/>
                </w:tcPr>
                <w:p w14:paraId="592CD6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402172006</w:t>
                  </w:r>
                </w:p>
              </w:tc>
              <w:tc>
                <w:tcPr>
                  <w:tcW w:w="0" w:type="auto"/>
                  <w:shd w:val="clear" w:color="auto" w:fill="auto"/>
                  <w:vAlign w:val="center"/>
                </w:tcPr>
                <w:p w14:paraId="347144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材料表界面功能化技术</w:t>
                  </w:r>
                </w:p>
              </w:tc>
              <w:tc>
                <w:tcPr>
                  <w:tcW w:w="0" w:type="auto"/>
                  <w:shd w:val="clear" w:color="auto" w:fill="auto"/>
                  <w:vAlign w:val="center"/>
                </w:tcPr>
                <w:p w14:paraId="6F2FB8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A1704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2B817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5C504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4281FD9">
                  <w:pPr>
                    <w:jc w:val="center"/>
                    <w:rPr>
                      <w:rFonts w:hint="eastAsia" w:ascii="宋体"/>
                      <w:sz w:val="10"/>
                      <w:szCs w:val="10"/>
                    </w:rPr>
                  </w:pPr>
                </w:p>
              </w:tc>
            </w:tr>
            <w:tr w14:paraId="2BB99A0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DE3B17F">
                  <w:pPr>
                    <w:jc w:val="center"/>
                    <w:rPr>
                      <w:rFonts w:hint="eastAsia" w:ascii="宋体"/>
                      <w:sz w:val="10"/>
                      <w:szCs w:val="10"/>
                    </w:rPr>
                  </w:pPr>
                </w:p>
              </w:tc>
              <w:tc>
                <w:tcPr>
                  <w:tcW w:w="0" w:type="auto"/>
                  <w:shd w:val="clear" w:color="auto" w:fill="auto"/>
                  <w:vAlign w:val="center"/>
                </w:tcPr>
                <w:p w14:paraId="5FD6A0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402172007</w:t>
                  </w:r>
                </w:p>
              </w:tc>
              <w:tc>
                <w:tcPr>
                  <w:tcW w:w="0" w:type="auto"/>
                  <w:shd w:val="clear" w:color="auto" w:fill="auto"/>
                  <w:vAlign w:val="center"/>
                </w:tcPr>
                <w:p w14:paraId="6301C5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微波磁性材料与器件</w:t>
                  </w:r>
                </w:p>
              </w:tc>
              <w:tc>
                <w:tcPr>
                  <w:tcW w:w="0" w:type="auto"/>
                  <w:shd w:val="clear" w:color="auto" w:fill="auto"/>
                  <w:vAlign w:val="center"/>
                </w:tcPr>
                <w:p w14:paraId="5FDA5D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5B751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BA167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0243DE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FDC87BB">
                  <w:pPr>
                    <w:jc w:val="center"/>
                    <w:rPr>
                      <w:rFonts w:hint="eastAsia" w:ascii="宋体"/>
                      <w:sz w:val="10"/>
                      <w:szCs w:val="10"/>
                    </w:rPr>
                  </w:pPr>
                </w:p>
              </w:tc>
            </w:tr>
            <w:tr w14:paraId="462F89A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48941F">
                  <w:pPr>
                    <w:jc w:val="center"/>
                    <w:rPr>
                      <w:rFonts w:hint="eastAsia" w:ascii="宋体"/>
                      <w:sz w:val="10"/>
                      <w:szCs w:val="10"/>
                    </w:rPr>
                  </w:pPr>
                </w:p>
              </w:tc>
              <w:tc>
                <w:tcPr>
                  <w:tcW w:w="0" w:type="auto"/>
                  <w:shd w:val="clear" w:color="auto" w:fill="auto"/>
                  <w:vAlign w:val="center"/>
                </w:tcPr>
                <w:p w14:paraId="381AFE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402172008</w:t>
                  </w:r>
                </w:p>
              </w:tc>
              <w:tc>
                <w:tcPr>
                  <w:tcW w:w="0" w:type="auto"/>
                  <w:shd w:val="clear" w:color="auto" w:fill="auto"/>
                  <w:vAlign w:val="center"/>
                </w:tcPr>
                <w:p w14:paraId="24F859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磁共振波谱原理与应用</w:t>
                  </w:r>
                </w:p>
              </w:tc>
              <w:tc>
                <w:tcPr>
                  <w:tcW w:w="0" w:type="auto"/>
                  <w:shd w:val="clear" w:color="auto" w:fill="auto"/>
                  <w:vAlign w:val="center"/>
                </w:tcPr>
                <w:p w14:paraId="7DB9CE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B519B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8FFE9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0BE25C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B57284E">
                  <w:pPr>
                    <w:jc w:val="center"/>
                    <w:rPr>
                      <w:rFonts w:hint="eastAsia" w:ascii="宋体"/>
                      <w:sz w:val="10"/>
                      <w:szCs w:val="10"/>
                    </w:rPr>
                  </w:pPr>
                </w:p>
              </w:tc>
            </w:tr>
            <w:tr w14:paraId="7F2C0F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827F3F6">
                  <w:pPr>
                    <w:jc w:val="center"/>
                    <w:rPr>
                      <w:rFonts w:hint="eastAsia" w:ascii="宋体"/>
                      <w:sz w:val="10"/>
                      <w:szCs w:val="10"/>
                    </w:rPr>
                  </w:pPr>
                </w:p>
              </w:tc>
              <w:tc>
                <w:tcPr>
                  <w:tcW w:w="0" w:type="auto"/>
                  <w:shd w:val="clear" w:color="auto" w:fill="auto"/>
                  <w:vAlign w:val="center"/>
                </w:tcPr>
                <w:p w14:paraId="7BE35F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402172009</w:t>
                  </w:r>
                </w:p>
              </w:tc>
              <w:tc>
                <w:tcPr>
                  <w:tcW w:w="0" w:type="auto"/>
                  <w:shd w:val="clear" w:color="auto" w:fill="auto"/>
                  <w:vAlign w:val="center"/>
                </w:tcPr>
                <w:p w14:paraId="712BF2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0AD3E4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2D040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D0A6F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4EAE6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FE2D225">
                  <w:pPr>
                    <w:jc w:val="center"/>
                    <w:rPr>
                      <w:rFonts w:hint="eastAsia" w:ascii="宋体"/>
                      <w:sz w:val="10"/>
                      <w:szCs w:val="10"/>
                    </w:rPr>
                  </w:pPr>
                </w:p>
              </w:tc>
            </w:tr>
            <w:tr w14:paraId="4DF6E30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A784640">
                  <w:pPr>
                    <w:jc w:val="center"/>
                    <w:rPr>
                      <w:rFonts w:hint="eastAsia" w:ascii="宋体"/>
                      <w:sz w:val="10"/>
                      <w:szCs w:val="10"/>
                    </w:rPr>
                  </w:pPr>
                </w:p>
              </w:tc>
              <w:tc>
                <w:tcPr>
                  <w:tcW w:w="0" w:type="auto"/>
                  <w:shd w:val="clear" w:color="auto" w:fill="auto"/>
                  <w:vAlign w:val="center"/>
                </w:tcPr>
                <w:p w14:paraId="6371AD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402172010</w:t>
                  </w:r>
                </w:p>
              </w:tc>
              <w:tc>
                <w:tcPr>
                  <w:tcW w:w="0" w:type="auto"/>
                  <w:shd w:val="clear" w:color="auto" w:fill="auto"/>
                  <w:vAlign w:val="center"/>
                </w:tcPr>
                <w:p w14:paraId="592446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陶瓷工艺学</w:t>
                  </w:r>
                </w:p>
              </w:tc>
              <w:tc>
                <w:tcPr>
                  <w:tcW w:w="0" w:type="auto"/>
                  <w:shd w:val="clear" w:color="auto" w:fill="auto"/>
                  <w:vAlign w:val="center"/>
                </w:tcPr>
                <w:p w14:paraId="4C1731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E02DD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80C61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578F5E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507393A">
                  <w:pPr>
                    <w:jc w:val="center"/>
                    <w:rPr>
                      <w:rFonts w:hint="eastAsia" w:ascii="宋体"/>
                      <w:sz w:val="10"/>
                      <w:szCs w:val="10"/>
                    </w:rPr>
                  </w:pPr>
                </w:p>
              </w:tc>
            </w:tr>
            <w:tr w14:paraId="7EB9CE8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534B166">
                  <w:pPr>
                    <w:jc w:val="center"/>
                    <w:rPr>
                      <w:rFonts w:hint="eastAsia" w:ascii="宋体"/>
                      <w:sz w:val="10"/>
                      <w:szCs w:val="10"/>
                    </w:rPr>
                  </w:pPr>
                </w:p>
              </w:tc>
              <w:tc>
                <w:tcPr>
                  <w:tcW w:w="0" w:type="auto"/>
                  <w:shd w:val="clear" w:color="auto" w:fill="auto"/>
                  <w:vAlign w:val="center"/>
                </w:tcPr>
                <w:p w14:paraId="5EA7E6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402172018</w:t>
                  </w:r>
                </w:p>
              </w:tc>
              <w:tc>
                <w:tcPr>
                  <w:tcW w:w="0" w:type="auto"/>
                  <w:shd w:val="clear" w:color="auto" w:fill="auto"/>
                  <w:vAlign w:val="center"/>
                </w:tcPr>
                <w:p w14:paraId="5E8444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29388D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0D5DC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61F77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C1241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5C17417">
                  <w:pPr>
                    <w:jc w:val="center"/>
                    <w:rPr>
                      <w:rFonts w:hint="eastAsia" w:ascii="宋体"/>
                      <w:sz w:val="10"/>
                      <w:szCs w:val="10"/>
                    </w:rPr>
                  </w:pPr>
                </w:p>
              </w:tc>
            </w:tr>
            <w:tr w14:paraId="2B86E4F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2EA55A">
                  <w:pPr>
                    <w:jc w:val="center"/>
                    <w:rPr>
                      <w:rFonts w:hint="eastAsia" w:ascii="宋体"/>
                      <w:sz w:val="10"/>
                      <w:szCs w:val="10"/>
                    </w:rPr>
                  </w:pPr>
                </w:p>
              </w:tc>
              <w:tc>
                <w:tcPr>
                  <w:tcW w:w="0" w:type="auto"/>
                  <w:shd w:val="clear" w:color="auto" w:fill="auto"/>
                  <w:vAlign w:val="center"/>
                </w:tcPr>
                <w:p w14:paraId="6229FD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402172019</w:t>
                  </w:r>
                </w:p>
              </w:tc>
              <w:tc>
                <w:tcPr>
                  <w:tcW w:w="0" w:type="auto"/>
                  <w:shd w:val="clear" w:color="auto" w:fill="auto"/>
                  <w:vAlign w:val="center"/>
                </w:tcPr>
                <w:p w14:paraId="48E244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742D3D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FB035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FEF22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AAEEF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0362AF8">
                  <w:pPr>
                    <w:jc w:val="center"/>
                    <w:rPr>
                      <w:rFonts w:hint="eastAsia" w:ascii="宋体"/>
                      <w:sz w:val="10"/>
                      <w:szCs w:val="10"/>
                    </w:rPr>
                  </w:pPr>
                </w:p>
              </w:tc>
            </w:tr>
            <w:tr w14:paraId="29CC7A4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9993D75">
                  <w:pPr>
                    <w:jc w:val="center"/>
                    <w:rPr>
                      <w:rFonts w:hint="eastAsia" w:ascii="宋体"/>
                      <w:sz w:val="10"/>
                      <w:szCs w:val="10"/>
                    </w:rPr>
                  </w:pPr>
                </w:p>
              </w:tc>
              <w:tc>
                <w:tcPr>
                  <w:tcW w:w="0" w:type="auto"/>
                  <w:shd w:val="clear" w:color="auto" w:fill="auto"/>
                  <w:vAlign w:val="center"/>
                </w:tcPr>
                <w:p w14:paraId="5C475B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402172020</w:t>
                  </w:r>
                </w:p>
              </w:tc>
              <w:tc>
                <w:tcPr>
                  <w:tcW w:w="0" w:type="auto"/>
                  <w:shd w:val="clear" w:color="auto" w:fill="auto"/>
                  <w:vAlign w:val="center"/>
                </w:tcPr>
                <w:p w14:paraId="57FBEE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6D20DF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1D0F3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FF186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177250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FE8FDFB">
                  <w:pPr>
                    <w:jc w:val="center"/>
                    <w:rPr>
                      <w:rFonts w:hint="eastAsia" w:ascii="宋体"/>
                      <w:sz w:val="10"/>
                      <w:szCs w:val="10"/>
                    </w:rPr>
                  </w:pPr>
                </w:p>
              </w:tc>
            </w:tr>
            <w:tr w14:paraId="3E3CD51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219F013">
                  <w:pPr>
                    <w:jc w:val="center"/>
                    <w:rPr>
                      <w:rFonts w:hint="eastAsia" w:ascii="宋体"/>
                      <w:sz w:val="10"/>
                      <w:szCs w:val="10"/>
                    </w:rPr>
                  </w:pPr>
                </w:p>
              </w:tc>
              <w:tc>
                <w:tcPr>
                  <w:tcW w:w="0" w:type="auto"/>
                  <w:shd w:val="clear" w:color="auto" w:fill="auto"/>
                  <w:vAlign w:val="center"/>
                </w:tcPr>
                <w:p w14:paraId="73A2AC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402172021</w:t>
                  </w:r>
                </w:p>
              </w:tc>
              <w:tc>
                <w:tcPr>
                  <w:tcW w:w="0" w:type="auto"/>
                  <w:shd w:val="clear" w:color="auto" w:fill="auto"/>
                  <w:vAlign w:val="center"/>
                </w:tcPr>
                <w:p w14:paraId="362A32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1989C5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62D59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5C957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6CAA34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51AC42B">
                  <w:pPr>
                    <w:jc w:val="center"/>
                    <w:rPr>
                      <w:rFonts w:hint="eastAsia" w:ascii="宋体"/>
                      <w:sz w:val="10"/>
                      <w:szCs w:val="10"/>
                    </w:rPr>
                  </w:pPr>
                </w:p>
              </w:tc>
            </w:tr>
            <w:tr w14:paraId="767F10B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F3C4D5C">
                  <w:pPr>
                    <w:jc w:val="center"/>
                    <w:rPr>
                      <w:rFonts w:hint="eastAsia" w:ascii="宋体"/>
                      <w:sz w:val="10"/>
                      <w:szCs w:val="10"/>
                    </w:rPr>
                  </w:pPr>
                </w:p>
              </w:tc>
              <w:tc>
                <w:tcPr>
                  <w:tcW w:w="0" w:type="auto"/>
                  <w:shd w:val="clear" w:color="auto" w:fill="auto"/>
                  <w:vAlign w:val="center"/>
                </w:tcPr>
                <w:p w14:paraId="6C26C4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402172022</w:t>
                  </w:r>
                </w:p>
              </w:tc>
              <w:tc>
                <w:tcPr>
                  <w:tcW w:w="0" w:type="auto"/>
                  <w:shd w:val="clear" w:color="auto" w:fill="auto"/>
                  <w:vAlign w:val="center"/>
                </w:tcPr>
                <w:p w14:paraId="7DB9FF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固体物理Ⅰ</w:t>
                  </w:r>
                </w:p>
              </w:tc>
              <w:tc>
                <w:tcPr>
                  <w:tcW w:w="0" w:type="auto"/>
                  <w:shd w:val="clear" w:color="auto" w:fill="auto"/>
                  <w:vAlign w:val="center"/>
                </w:tcPr>
                <w:p w14:paraId="4995CD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66EEC9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482CF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494A49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D1514F0">
                  <w:pPr>
                    <w:jc w:val="center"/>
                    <w:rPr>
                      <w:rFonts w:hint="eastAsia" w:ascii="宋体"/>
                      <w:sz w:val="10"/>
                      <w:szCs w:val="10"/>
                    </w:rPr>
                  </w:pPr>
                </w:p>
              </w:tc>
            </w:tr>
          </w:tbl>
          <w:p w14:paraId="40893D77">
            <w:pPr>
              <w:jc w:val="center"/>
            </w:pPr>
          </w:p>
        </w:tc>
      </w:tr>
      <w:tr w14:paraId="74C0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65ED659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4A29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09E851D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72EACD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32FEF8B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295723C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462A779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579E71F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46DF4B1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101F3D2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ADC0B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46CC4F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488FE7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277D4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2748B3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3B43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5086802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968650B">
                  <w:pPr>
                    <w:jc w:val="center"/>
                    <w:rPr>
                      <w:rFonts w:hint="eastAsia" w:ascii="宋体"/>
                      <w:sz w:val="10"/>
                      <w:szCs w:val="10"/>
                    </w:rPr>
                  </w:pPr>
                </w:p>
              </w:tc>
              <w:tc>
                <w:tcPr>
                  <w:tcW w:w="0" w:type="auto"/>
                  <w:shd w:val="clear" w:color="auto" w:fill="auto"/>
                  <w:vAlign w:val="center"/>
                </w:tcPr>
                <w:p w14:paraId="1BD8E4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56325D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1478A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79878B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C9B2B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最晚于入学后第四学期完成</w:t>
                  </w:r>
                </w:p>
              </w:tc>
            </w:tr>
            <w:tr w14:paraId="396B485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89D8C2D">
                  <w:pPr>
                    <w:jc w:val="center"/>
                    <w:rPr>
                      <w:rFonts w:hint="eastAsia" w:ascii="宋体"/>
                      <w:sz w:val="10"/>
                      <w:szCs w:val="10"/>
                    </w:rPr>
                  </w:pPr>
                </w:p>
              </w:tc>
              <w:tc>
                <w:tcPr>
                  <w:tcW w:w="0" w:type="auto"/>
                  <w:shd w:val="clear" w:color="auto" w:fill="auto"/>
                  <w:vAlign w:val="center"/>
                </w:tcPr>
                <w:p w14:paraId="03DA36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3FB145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5E773C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69B0DB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A61CD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0B2B715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67AA307">
                  <w:pPr>
                    <w:jc w:val="center"/>
                    <w:rPr>
                      <w:rFonts w:hint="eastAsia" w:ascii="宋体"/>
                      <w:sz w:val="10"/>
                      <w:szCs w:val="10"/>
                    </w:rPr>
                  </w:pPr>
                </w:p>
              </w:tc>
              <w:tc>
                <w:tcPr>
                  <w:tcW w:w="0" w:type="auto"/>
                  <w:shd w:val="clear" w:color="auto" w:fill="auto"/>
                  <w:vAlign w:val="center"/>
                </w:tcPr>
                <w:p w14:paraId="64C97A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78AB58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2D5E45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专业学位研究生培养中的必修环节，研究生需到企业或行业实际部门实习实践，具有2年及以上企业工作经历的工程类硕士专业学位研究生专业实践时间应不少于6个月，不具有2年企业工作经历的工程类硕士专业学位研究生专业实践时间应不少于1年。可采用集中实践与分段实践相结合的方式。专业实践由校内导师与校外导师共同指导，主要培养研究生将专业知识应用到实践中的能力，在实践中运用专业知识和技能解决所遇到的问题。实践环节中研究生应提交实践计划并撰写实践学习总结报告。专业实践由校内导师与校外导师共同评价考核。 结合实践内容开展课题研究和论文工作，可采取以下几种方式灵活进行： 1、依托于学校、学院、学科点建立的研究生联合培养基地、专业实践基地，统一组织和选派学生去企业进行专业实践。 2、由校内导师结合自己所承担的与企业合作的科研课题，安排研究生的专业实践环节。 3、依托于校企、校内研究所、实践平台，安排研究生的专业实践环节。 专业学位硕士研究生专业实践环节的考核采用学分制，考核合格方可取得相应学分。在实践活动结束后，提交《实践总结报告》，总结报告不少于5000字。校内外指导教师应根据研究生的现场实践工作量、综合表现及实践单位的反馈意见等,采用五级制（优、良、中、及格、不及格）评定成绩，及格及以上为合格，考核不合格的需重修。专业实践所涉及的技术改进、工艺优化、产品设计等工程技术领域的创新成果应获得实践单位的认可或被采纳应用。</w:t>
                  </w:r>
                </w:p>
              </w:tc>
              <w:tc>
                <w:tcPr>
                  <w:tcW w:w="0" w:type="auto"/>
                  <w:shd w:val="clear" w:color="auto" w:fill="auto"/>
                  <w:vAlign w:val="center"/>
                </w:tcPr>
                <w:p w14:paraId="03000A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33ED805E">
                  <w:pPr>
                    <w:jc w:val="center"/>
                    <w:rPr>
                      <w:rFonts w:hint="eastAsia" w:ascii="宋体"/>
                      <w:sz w:val="10"/>
                      <w:szCs w:val="10"/>
                    </w:rPr>
                  </w:pPr>
                </w:p>
              </w:tc>
            </w:tr>
          </w:tbl>
          <w:p w14:paraId="2B6474CD">
            <w:pPr>
              <w:jc w:val="center"/>
            </w:pPr>
          </w:p>
        </w:tc>
      </w:tr>
      <w:tr w14:paraId="6B0E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3798ECFD">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7F85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0E4EC42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19B37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6E52B9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DEB21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76677A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92EC6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38AFF1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2429B2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7416B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21A5B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2DE7B3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7955644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2"/>
                  <w:shd w:val="clear" w:color="auto" w:fill="auto"/>
                  <w:vAlign w:val="center"/>
                </w:tcPr>
                <w:p w14:paraId="0FA69B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070EFD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502D5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38222F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0FB9F6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070A005A">
            <w:pPr>
              <w:jc w:val="center"/>
            </w:pPr>
          </w:p>
        </w:tc>
      </w:tr>
    </w:tbl>
    <w:p w14:paraId="7257F53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410D12D8"/>
    <w:rsid w:val="410D1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2024-11-13T03:29:00Z</dcterms:created>
  <dc:creator>keshi</dc:creator>
  <cp:lastModifiedBy>keshi</cp:lastModifiedBy>
  <dcterms:modified xsi:type="dcterms:W3CDTF">2024-11-13T03:29:10Z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8AB715957CAE4645AA03D84A317501E9_11</vt:lpwstr>
  </property>
</Properties>
</file>